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40" w:tblpY="2801"/>
        <w:tblOverlap w:val="never"/>
        <w:tblW w:w="84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295"/>
        <w:gridCol w:w="1695"/>
        <w:gridCol w:w="2368"/>
      </w:tblGrid>
      <w:tr w14:paraId="32D5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5B2ED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申请科室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2D90C3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  <w:t>骨伤科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024F9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设备名称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16617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中药熏蒸仪</w:t>
            </w:r>
          </w:p>
        </w:tc>
      </w:tr>
      <w:tr w14:paraId="642C1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55E34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数量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0D53D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7BB70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预算单价</w:t>
            </w:r>
          </w:p>
          <w:p w14:paraId="22ACC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（万元）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1453A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 万</w:t>
            </w:r>
          </w:p>
        </w:tc>
      </w:tr>
      <w:tr w14:paraId="23B62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1D6E0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配置要求</w:t>
            </w:r>
          </w:p>
        </w:tc>
        <w:tc>
          <w:tcPr>
            <w:tcW w:w="6358" w:type="dxa"/>
            <w:gridSpan w:val="3"/>
            <w:shd w:val="clear" w:color="auto" w:fill="auto"/>
            <w:vAlign w:val="center"/>
          </w:tcPr>
          <w:p w14:paraId="7B603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71408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0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6A3BD9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参数</w:t>
            </w:r>
          </w:p>
          <w:p w14:paraId="22771FF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6358" w:type="dxa"/>
            <w:gridSpan w:val="3"/>
            <w:shd w:val="clear" w:color="auto" w:fill="auto"/>
            <w:noWrap/>
            <w:vAlign w:val="center"/>
          </w:tcPr>
          <w:p w14:paraId="6BDAA1BD">
            <w:pPr>
              <w:spacing w:line="360" w:lineRule="auto"/>
              <w:rPr>
                <w:rFonts w:ascii="宋体" w:hAnsi="宋体" w:cs="宋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、容量：双缸设计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1800mL×2；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</w:p>
          <w:p w14:paraId="2D873F6B">
            <w:pPr>
              <w:spacing w:line="360" w:lineRule="auto"/>
              <w:rPr>
                <w:rFonts w:ascii="宋体" w:hAnsi="宋体" w:cs="宋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、双喷头设计，两个通道可分别进行功能设置</w:t>
            </w:r>
          </w:p>
          <w:p w14:paraId="3FF68E33">
            <w:pPr>
              <w:spacing w:line="360" w:lineRule="auto"/>
              <w:rPr>
                <w:rFonts w:ascii="宋体" w:hAnsi="宋体" w:cs="宋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、超过安全气压（＞0.08MPa）减压阀动作；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</w:p>
          <w:p w14:paraId="2CF7D1DF">
            <w:pPr>
              <w:spacing w:line="360" w:lineRule="auto"/>
              <w:rPr>
                <w:rFonts w:ascii="宋体" w:hAnsi="宋体" w:cs="宋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、药液低于安全液位时（＜200ml），声音警报并自动停止工作；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14:paraId="52F90252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、高强度不锈钢材质的支架</w:t>
            </w:r>
          </w:p>
          <w:p w14:paraId="12DAB543">
            <w:pPr>
              <w:spacing w:line="360" w:lineRule="auto"/>
              <w:rPr>
                <w:rFonts w:ascii="宋体" w:hAnsi="宋体" w:cs="宋体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具备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防烫伤水汽隔离装置与回流式喷嘴腔；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</w:p>
          <w:p w14:paraId="0533EF58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具备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可承压的复合水箱，</w:t>
            </w:r>
          </w:p>
          <w:p w14:paraId="165911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63941CF2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医疗设备核心配置技术需求表</w:t>
      </w:r>
    </w:p>
    <w:p w14:paraId="3F908EE6">
      <w:pPr>
        <w:tabs>
          <w:tab w:val="left" w:pos="1116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4F7C53"/>
    <w:rsid w:val="4E38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qFormat/>
    <w:uiPriority w:val="0"/>
    <w:rPr>
      <w:rFonts w:ascii="Wingdings 2" w:hAnsi="Wingdings 2" w:eastAsia="Wingdings 2" w:cs="Wingdings 2"/>
      <w:color w:val="000000"/>
      <w:sz w:val="22"/>
      <w:szCs w:val="22"/>
      <w:u w:val="none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195</Characters>
  <Paragraphs>56</Paragraphs>
  <TotalTime>9</TotalTime>
  <ScaleCrop>false</ScaleCrop>
  <LinksUpToDate>false</LinksUpToDate>
  <CharactersWithSpaces>200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2023-09-12T06:41:00Z</dcterms:created>
  <dc:creator>Administrator</dc:creator>
  <cp:lastModifiedBy>                      </cp:lastModifiedBy>
  <cp:lastPrinted>2023-09-13T02:31:00Z</cp:lastPrinted>
  <dcterms:modified xsi:type="dcterms:W3CDTF">2025-06-11T08:06:07Z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eyJoZGlkIjoiYTgyODQ3NGY3NzMwOWQ4ZDc5OTNiMDYyOWU5ZmNmMTYiLCJ1c2VySWQiOiI1MDQ3ODk5MzAifQ==</vt:lpwstr>
  </property>
  <property fmtid="{D5CDD505-2E9C-101B-9397-08002B2CF9AE}" pid="4" name="ICV">
    <vt:lpwstr>50d6a94d770e42039d6f0cb2cb5f0e21_23</vt:lpwstr>
  </property>
</Properties>
</file>